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A562">
      <w:pPr>
        <w:spacing w:afterLines="100" w:line="620" w:lineRule="exact"/>
        <w:jc w:val="center"/>
        <w:rPr>
          <w:rFonts w:ascii="方正小标宋_GBK" w:hAnsi="宋体" w:eastAsia="方正小标宋_GBK" w:cs="宋体"/>
          <w:sz w:val="44"/>
          <w:szCs w:val="44"/>
          <w:lang w:val="zh-CN"/>
        </w:rPr>
      </w:pPr>
      <w:bookmarkStart w:id="0" w:name="OLE_LINK1"/>
      <w:bookmarkStart w:id="1" w:name="OLE_LINK2"/>
      <w:bookmarkStart w:id="2" w:name="OLE_LINK3"/>
      <w:r>
        <w:rPr>
          <w:rFonts w:hint="eastAsia" w:ascii="方正小标宋_GBK" w:hAnsi="宋体" w:eastAsia="方正小标宋_GBK" w:cs="宋体"/>
          <w:sz w:val="44"/>
          <w:szCs w:val="44"/>
          <w:lang w:val="zh-CN"/>
        </w:rPr>
        <w:t>苏州市吴江区鲈乡实验小学关于鲈乡实验小学校服采购的</w:t>
      </w:r>
      <w:r>
        <w:rPr>
          <w:rFonts w:hint="eastAsia" w:ascii="方正小标宋_GBK" w:hAnsi="宋体" w:eastAsia="方正小标宋_GBK" w:cs="宋体"/>
          <w:sz w:val="44"/>
          <w:szCs w:val="44"/>
        </w:rPr>
        <w:t>中标结果</w:t>
      </w:r>
      <w:r>
        <w:rPr>
          <w:rFonts w:hint="eastAsia" w:ascii="方正小标宋_GBK" w:hAnsi="宋体" w:eastAsia="方正小标宋_GBK" w:cs="宋体"/>
          <w:sz w:val="44"/>
          <w:szCs w:val="44"/>
          <w:lang w:val="zh-CN"/>
        </w:rPr>
        <w:t>公告</w:t>
      </w:r>
    </w:p>
    <w:bookmarkEnd w:id="0"/>
    <w:bookmarkEnd w:id="1"/>
    <w:bookmarkEnd w:id="2"/>
    <w:p w14:paraId="50C17284">
      <w:pPr>
        <w:pStyle w:val="14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江苏嘉裕工程管理咨询有限公司受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zh-CN"/>
        </w:rPr>
        <w:t>苏州市吴江区鲈乡实验小学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的委托，就其所需要采购的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zh-CN"/>
        </w:rPr>
        <w:t>鲈乡实验小学校服采购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在国内组织公开招标采购。现就本次采购的结果公布如下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53B219F5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zh-CN"/>
        </w:rPr>
        <w:t>一、</w:t>
      </w:r>
      <w:r>
        <w:rPr>
          <w:rFonts w:hint="eastAsia" w:ascii="黑体" w:hAnsi="黑体" w:eastAsia="黑体" w:cs="Times New Roman"/>
          <w:bCs/>
          <w:sz w:val="32"/>
          <w:szCs w:val="32"/>
        </w:rPr>
        <w:t>项目编号：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zh-CN"/>
        </w:rPr>
        <w:t>JSJY2026-Q-G-001</w:t>
      </w:r>
    </w:p>
    <w:p w14:paraId="75947E58">
      <w:pPr>
        <w:adjustRightInd w:val="0"/>
        <w:snapToGrid w:val="0"/>
        <w:spacing w:line="560" w:lineRule="exact"/>
        <w:ind w:firstLine="643" w:firstLineChars="200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二、</w:t>
      </w:r>
      <w:r>
        <w:rPr>
          <w:rFonts w:hint="eastAsia" w:ascii="黑体" w:hAnsi="黑体" w:eastAsia="黑体" w:cs="Times New Roman"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zh-CN"/>
        </w:rPr>
        <w:t>鲈乡实验小学校服采购</w:t>
      </w:r>
    </w:p>
    <w:p w14:paraId="541B3ADB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三、中标信息</w:t>
      </w:r>
    </w:p>
    <w:p w14:paraId="17717DB4">
      <w:pPr>
        <w:adjustRightInd w:val="0"/>
        <w:snapToGrid w:val="0"/>
        <w:spacing w:line="560" w:lineRule="exact"/>
        <w:ind w:firstLine="624" w:firstLineChars="19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供应商名称：苏州市青田企业发展有限公司</w:t>
      </w:r>
    </w:p>
    <w:p w14:paraId="1F593FBB">
      <w:pPr>
        <w:adjustRightInd w:val="0"/>
        <w:snapToGrid w:val="0"/>
        <w:spacing w:line="560" w:lineRule="exact"/>
        <w:ind w:firstLine="624" w:firstLineChars="19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供应商地址：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苏州市吴江区震泽镇镇南路599号</w:t>
      </w:r>
    </w:p>
    <w:p w14:paraId="4B08558C">
      <w:pPr>
        <w:pStyle w:val="14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中标金额：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人民币壹拾陆万零伍拾元整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（</w:t>
      </w:r>
      <w:r>
        <w:rPr>
          <w:rFonts w:ascii="Vrinda" w:hAnsi="Vrinda" w:eastAsia="仿宋" w:cs="Vrinda"/>
          <w:sz w:val="32"/>
          <w:szCs w:val="32"/>
          <w:lang w:val="zh-CN"/>
        </w:rPr>
        <w:t>¥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160050.00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（综合单价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330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元/人）</w:t>
      </w:r>
    </w:p>
    <w:p w14:paraId="193455E6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四、主要标的信息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：</w:t>
      </w:r>
    </w:p>
    <w:tbl>
      <w:tblPr>
        <w:tblStyle w:val="9"/>
        <w:tblW w:w="52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09"/>
        <w:gridCol w:w="839"/>
        <w:gridCol w:w="742"/>
        <w:gridCol w:w="3097"/>
        <w:gridCol w:w="802"/>
        <w:gridCol w:w="802"/>
        <w:gridCol w:w="1552"/>
      </w:tblGrid>
      <w:tr w14:paraId="2D3A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5000" w:type="pct"/>
            <w:gridSpan w:val="8"/>
            <w:vAlign w:val="center"/>
          </w:tcPr>
          <w:p w14:paraId="7DAE929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  <w:lang w:val="en-US" w:eastAsia="zh-CN"/>
              </w:rPr>
              <w:t>货物类</w:t>
            </w:r>
          </w:p>
        </w:tc>
      </w:tr>
      <w:tr w14:paraId="7AB6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9" w:type="pct"/>
            <w:shd w:val="clear" w:color="auto" w:fill="auto"/>
            <w:vAlign w:val="center"/>
          </w:tcPr>
          <w:p w14:paraId="1BCEEBA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423404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名称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71E149A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产品名称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7B16E5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品牌名称</w:t>
            </w:r>
          </w:p>
        </w:tc>
        <w:tc>
          <w:tcPr>
            <w:tcW w:w="1746" w:type="pct"/>
            <w:shd w:val="clear" w:color="auto" w:fill="auto"/>
            <w:vAlign w:val="center"/>
          </w:tcPr>
          <w:p w14:paraId="6ABA936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材质规格型号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9DCD4F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数量（人）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0E1B2A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单价（元）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61E80F3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合同履行期限</w:t>
            </w:r>
          </w:p>
        </w:tc>
      </w:tr>
      <w:tr w14:paraId="66DD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239" w:type="pct"/>
            <w:vMerge w:val="restart"/>
            <w:shd w:val="clear" w:color="auto" w:fill="auto"/>
            <w:vAlign w:val="center"/>
          </w:tcPr>
          <w:p w14:paraId="6C6D881A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1C705DE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夏季套装（含校徽）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4DAE613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女款T恤衫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2D81AB6C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atob</w:t>
            </w:r>
          </w:p>
        </w:tc>
        <w:tc>
          <w:tcPr>
            <w:tcW w:w="1746" w:type="pct"/>
            <w:vMerge w:val="restart"/>
            <w:shd w:val="clear" w:color="auto" w:fill="auto"/>
            <w:vAlign w:val="center"/>
          </w:tcPr>
          <w:p w14:paraId="04BC2FD9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颜色：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女生T恤：天蓝色大身藏青色插肩袖，配撞色纽扣、黄色藏青夹色螺纹领子，袖边，门襟；男生T恤：天蓝色大身平肩袖，配撞色纽扣、黄色藏青夹色螺纹领子，袖边，门襟</w:t>
            </w:r>
          </w:p>
          <w:p w14:paraId="561B0EFC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克重：210g/m2</w:t>
            </w:r>
          </w:p>
          <w:p w14:paraId="4B9A5309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规格：60%棉 40%聚酯纤维  珠地网眼面料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6CC4DC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485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23A841E0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26E2673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2025级学生校服于2026年04月01日前送货完毕（特殊情况另议）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。 最终以合同约定的日期为准。本批次校服售后服务期为3年。</w:t>
            </w:r>
          </w:p>
        </w:tc>
      </w:tr>
      <w:tr w14:paraId="6D3A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9" w:type="pct"/>
            <w:vMerge w:val="continue"/>
            <w:shd w:val="clear" w:color="auto" w:fill="auto"/>
            <w:vAlign w:val="center"/>
          </w:tcPr>
          <w:p w14:paraId="63445C9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6F8858D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2BC42ED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款T恤衫</w:t>
            </w: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 w14:paraId="7182AC9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746" w:type="pct"/>
            <w:vMerge w:val="continue"/>
            <w:shd w:val="clear" w:color="auto" w:fill="auto"/>
            <w:vAlign w:val="center"/>
          </w:tcPr>
          <w:p w14:paraId="29DF5C53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52" w:type="pct"/>
            <w:vMerge w:val="continue"/>
            <w:shd w:val="clear" w:color="auto" w:fill="auto"/>
            <w:vAlign w:val="center"/>
          </w:tcPr>
          <w:p w14:paraId="1F2C2FA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52" w:type="pct"/>
            <w:vMerge w:val="continue"/>
            <w:shd w:val="clear" w:color="auto" w:fill="auto"/>
            <w:vAlign w:val="center"/>
          </w:tcPr>
          <w:p w14:paraId="58DCA90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875" w:type="pct"/>
            <w:vMerge w:val="continue"/>
            <w:shd w:val="clear" w:color="auto" w:fill="auto"/>
            <w:vAlign w:val="center"/>
          </w:tcPr>
          <w:p w14:paraId="37691E6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 w14:paraId="2AB6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39" w:type="pct"/>
            <w:vMerge w:val="continue"/>
            <w:shd w:val="clear" w:color="auto" w:fill="auto"/>
            <w:vAlign w:val="center"/>
          </w:tcPr>
          <w:p w14:paraId="311C169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6EF3E06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13F0CD4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长裤（男女同款）</w:t>
            </w: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 w14:paraId="72CAA3F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746" w:type="pct"/>
            <w:vMerge w:val="restart"/>
            <w:shd w:val="clear" w:color="auto" w:fill="auto"/>
            <w:vAlign w:val="center"/>
          </w:tcPr>
          <w:p w14:paraId="1AE8FA17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颜色：</w:t>
            </w:r>
          </w:p>
          <w:p w14:paraId="3DD160DE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薄款夏长裤（男女同款）：藏青色大身，全松紧直筒裤，配腰绳，二侧装饰嵌绳。</w:t>
            </w:r>
          </w:p>
          <w:p w14:paraId="06F385EE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男生短裤：藏青色大身，黄色天蓝二色拍带，一字口袋，全松紧腰。</w:t>
            </w:r>
          </w:p>
          <w:p w14:paraId="01974C39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女生短裙：藏青大身，裙边装施黄色天蓝色拍条，内衬配色安全裤。</w:t>
            </w:r>
          </w:p>
          <w:p w14:paraId="6BFAE646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克重：220g/m2</w:t>
            </w:r>
          </w:p>
          <w:p w14:paraId="6219F74A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规格：62%棉38%聚酯纤维 丝盖棉</w:t>
            </w:r>
          </w:p>
          <w:p w14:paraId="4634D481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（女生短裙内胆100%棉）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42374D9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485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4134E14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75" w:type="pct"/>
            <w:vMerge w:val="continue"/>
            <w:shd w:val="clear" w:color="auto" w:fill="auto"/>
            <w:vAlign w:val="center"/>
          </w:tcPr>
          <w:p w14:paraId="5B8A202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 w14:paraId="5C44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9" w:type="pct"/>
            <w:vMerge w:val="continue"/>
            <w:shd w:val="clear" w:color="auto" w:fill="auto"/>
            <w:vAlign w:val="center"/>
          </w:tcPr>
          <w:p w14:paraId="78CCC6A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1408ACB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6393CCE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或男生短裤</w:t>
            </w:r>
          </w:p>
          <w:p w14:paraId="5AF3A95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或女生短裙</w:t>
            </w: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 w14:paraId="3A0FC39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746" w:type="pct"/>
            <w:vMerge w:val="continue"/>
            <w:shd w:val="clear" w:color="auto" w:fill="auto"/>
            <w:vAlign w:val="center"/>
          </w:tcPr>
          <w:p w14:paraId="1971208F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52" w:type="pct"/>
            <w:vMerge w:val="continue"/>
            <w:shd w:val="clear" w:color="auto" w:fill="auto"/>
            <w:vAlign w:val="center"/>
          </w:tcPr>
          <w:p w14:paraId="4D58591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D980EB7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75" w:type="pct"/>
            <w:vMerge w:val="continue"/>
            <w:shd w:val="clear" w:color="auto" w:fill="auto"/>
            <w:vAlign w:val="center"/>
          </w:tcPr>
          <w:p w14:paraId="372710C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 w14:paraId="3941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9" w:type="pct"/>
            <w:vMerge w:val="restart"/>
            <w:shd w:val="clear" w:color="auto" w:fill="auto"/>
            <w:vAlign w:val="center"/>
          </w:tcPr>
          <w:p w14:paraId="05C609F3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4D94EB9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春秋套装（含校徽）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0729ADA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上衣（男女同款）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412A6499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atob</w:t>
            </w:r>
          </w:p>
        </w:tc>
        <w:tc>
          <w:tcPr>
            <w:tcW w:w="1746" w:type="pct"/>
            <w:shd w:val="clear" w:color="auto" w:fill="auto"/>
            <w:vAlign w:val="center"/>
          </w:tcPr>
          <w:p w14:paraId="2A4FBC20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颜色：天蓝大身藏青色插肩袖，黄色藏青夹色螺纹、反光拉链</w:t>
            </w:r>
          </w:p>
          <w:p w14:paraId="1A491B7D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克重：300g/m2</w:t>
            </w:r>
          </w:p>
          <w:p w14:paraId="5AA183B9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规格：60%棉 40%聚酯纤维  空气层健康布面料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B5AC0D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485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234CAE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875" w:type="pct"/>
            <w:vMerge w:val="continue"/>
            <w:shd w:val="clear" w:color="auto" w:fill="auto"/>
            <w:vAlign w:val="center"/>
          </w:tcPr>
          <w:p w14:paraId="525138C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 w14:paraId="75A2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9" w:type="pct"/>
            <w:vMerge w:val="continue"/>
            <w:shd w:val="clear" w:color="auto" w:fill="auto"/>
            <w:vAlign w:val="center"/>
          </w:tcPr>
          <w:p w14:paraId="0656390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0913175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6D89A64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长裤（男女同款）</w:t>
            </w: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 w14:paraId="0859CFA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14:paraId="0252FC33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颜色：藏青色大身，全松紧、配调节松紧腰绳，二侧荧光嵌绳</w:t>
            </w:r>
          </w:p>
          <w:p w14:paraId="714FBF58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克重：300g/m2</w:t>
            </w:r>
          </w:p>
          <w:p w14:paraId="223BEEB0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规格：60%棉 40%聚酯纤维  空气层健康布面料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D537FA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485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362A8C7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875" w:type="pct"/>
            <w:vMerge w:val="continue"/>
            <w:shd w:val="clear" w:color="auto" w:fill="auto"/>
            <w:vAlign w:val="center"/>
          </w:tcPr>
          <w:p w14:paraId="0D24E85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</w:tbl>
    <w:p w14:paraId="4D43E799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五、评审专家名单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秦怀平、吴雪林、沈蚕行、金建明、尚笑梅、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沈映霞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学校代表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余玲玲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家长代表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）。</w:t>
      </w:r>
    </w:p>
    <w:p w14:paraId="12AA9FBC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六、代理服务收费标准及金额</w:t>
      </w:r>
    </w:p>
    <w:p w14:paraId="678002B1">
      <w:pPr>
        <w:adjustRightInd w:val="0"/>
        <w:snapToGrid w:val="0"/>
        <w:spacing w:line="560" w:lineRule="exact"/>
        <w:ind w:firstLine="624" w:firstLineChars="19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收费标准：签订合同时中标人向招标代理机构一次性付清。中标服务费的收取按差额定率累进法计算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32"/>
        </w:rPr>
        <w:t>预算金额100万以下费率为预算金额1.5%；预算金额100－</w:t>
      </w:r>
      <w:bookmarkStart w:id="3" w:name="_GoBack"/>
      <w:bookmarkEnd w:id="3"/>
      <w:r>
        <w:rPr>
          <w:rFonts w:hint="eastAsia" w:ascii="仿宋" w:hAnsi="仿宋" w:eastAsia="仿宋" w:cs="Times New Roman"/>
          <w:sz w:val="32"/>
          <w:szCs w:val="32"/>
        </w:rPr>
        <w:t>500万费率为预算金额的1.1%；预算金额500－1000万费率为预算金额的0.8%；预算金额1000万-5000万费率为预算金额的0.5%；预算金额5000万以上费率为预算金额的0.25%，不足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Times New Roman"/>
          <w:sz w:val="32"/>
          <w:szCs w:val="32"/>
        </w:rPr>
        <w:t>00元整，按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Times New Roman"/>
          <w:sz w:val="32"/>
          <w:szCs w:val="32"/>
        </w:rPr>
        <w:t>00元整计取。</w:t>
      </w:r>
    </w:p>
    <w:p w14:paraId="15B34CFA">
      <w:pPr>
        <w:adjustRightInd w:val="0"/>
        <w:snapToGrid w:val="0"/>
        <w:spacing w:line="560" w:lineRule="exact"/>
        <w:ind w:firstLine="624" w:firstLineChars="195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本项目采购代理服务费：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人民币叁仟元整（¥：3000.00）。</w:t>
      </w:r>
    </w:p>
    <w:p w14:paraId="2CCD62C2">
      <w:pPr>
        <w:adjustRightInd w:val="0"/>
        <w:snapToGrid w:val="0"/>
        <w:spacing w:line="560" w:lineRule="exact"/>
        <w:ind w:firstLine="643" w:firstLineChars="200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七、</w:t>
      </w:r>
      <w:r>
        <w:rPr>
          <w:rFonts w:hint="eastAsia" w:ascii="黑体" w:hAnsi="黑体" w:eastAsia="黑体" w:cs="Times New Roman"/>
          <w:bCs/>
          <w:sz w:val="32"/>
          <w:szCs w:val="32"/>
        </w:rPr>
        <w:t>公告期限：</w:t>
      </w:r>
      <w:r>
        <w:rPr>
          <w:rFonts w:hint="eastAsia" w:ascii="仿宋" w:hAnsi="仿宋" w:eastAsia="仿宋" w:cs="Times New Roman"/>
          <w:sz w:val="32"/>
          <w:szCs w:val="32"/>
        </w:rPr>
        <w:t>自本公告发布之日起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个工作日。</w:t>
      </w:r>
    </w:p>
    <w:p w14:paraId="1B828950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八、其他补充事宜</w:t>
      </w:r>
    </w:p>
    <w:p w14:paraId="1EB69082">
      <w:pPr>
        <w:adjustRightInd w:val="0"/>
        <w:snapToGrid w:val="0"/>
        <w:spacing w:line="560" w:lineRule="exact"/>
        <w:ind w:firstLine="624" w:firstLineChars="19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本中标信息公告媒体：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江苏招标采购服务平台（中国招标投标公共服务平台）、苏州市吴江区鲈乡实验小学官网、江苏嘉裕工程管理咨询有限公司官网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1C9B8AB4">
      <w:pPr>
        <w:adjustRightInd w:val="0"/>
        <w:snapToGrid w:val="0"/>
        <w:spacing w:line="560" w:lineRule="exact"/>
        <w:ind w:firstLine="624" w:firstLineChars="19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各有关当事人对采购结果有异议，可以在公告发布之日起七个工作日内，以书面形式向本公司提出质疑，逾期将不再受理。</w:t>
      </w:r>
    </w:p>
    <w:p w14:paraId="58C9D075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九、凡对本次公告内容提出询问，请按以下方式联系。</w:t>
      </w:r>
    </w:p>
    <w:p w14:paraId="7E9EB04B">
      <w:pPr>
        <w:adjustRightInd w:val="0"/>
        <w:snapToGrid w:val="0"/>
        <w:spacing w:line="560" w:lineRule="exact"/>
        <w:ind w:firstLine="624" w:firstLineChars="19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1.采购人信息</w:t>
      </w:r>
    </w:p>
    <w:p w14:paraId="6A2EF630">
      <w:pPr>
        <w:adjustRightInd w:val="0"/>
        <w:snapToGrid w:val="0"/>
        <w:spacing w:line="560" w:lineRule="exact"/>
        <w:ind w:firstLine="624" w:firstLineChars="195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名称：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苏州市吴江区鲈乡实验小学</w:t>
      </w:r>
    </w:p>
    <w:p w14:paraId="0F1823A5">
      <w:pPr>
        <w:adjustRightInd w:val="0"/>
        <w:snapToGrid w:val="0"/>
        <w:spacing w:line="560" w:lineRule="exact"/>
        <w:ind w:firstLine="624" w:firstLineChars="195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联系地址：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苏州市吴江区仲英大道525号</w:t>
      </w:r>
    </w:p>
    <w:p w14:paraId="6F260A15">
      <w:pPr>
        <w:adjustRightInd w:val="0"/>
        <w:snapToGrid w:val="0"/>
        <w:spacing w:line="560" w:lineRule="exact"/>
        <w:ind w:firstLine="624" w:firstLineChars="195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联系人：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任志林</w:t>
      </w:r>
    </w:p>
    <w:p w14:paraId="0C7916E8">
      <w:pPr>
        <w:adjustRightInd w:val="0"/>
        <w:snapToGrid w:val="0"/>
        <w:spacing w:line="560" w:lineRule="exact"/>
        <w:ind w:firstLine="624" w:firstLineChars="195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联系电话：0512-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63100015</w:t>
      </w:r>
    </w:p>
    <w:p w14:paraId="0986723E">
      <w:pPr>
        <w:adjustRightInd w:val="0"/>
        <w:snapToGrid w:val="0"/>
        <w:spacing w:line="560" w:lineRule="exact"/>
        <w:ind w:firstLine="624" w:firstLineChars="19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2.采购代理机构信息</w:t>
      </w:r>
    </w:p>
    <w:p w14:paraId="6A82E8D9">
      <w:pPr>
        <w:adjustRightInd w:val="0"/>
        <w:snapToGrid w:val="0"/>
        <w:spacing w:line="560" w:lineRule="exact"/>
        <w:ind w:firstLine="624" w:firstLineChars="19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名称：江苏嘉裕工程管理咨询有限公司</w:t>
      </w:r>
    </w:p>
    <w:p w14:paraId="112C9FFB">
      <w:pPr>
        <w:adjustRightInd w:val="0"/>
        <w:snapToGrid w:val="0"/>
        <w:spacing w:line="560" w:lineRule="exact"/>
        <w:ind w:firstLine="624" w:firstLineChars="19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联系地址：苏州市吴江区开平路君悦国际3幢7楼</w:t>
      </w:r>
    </w:p>
    <w:p w14:paraId="3123D30A">
      <w:pPr>
        <w:adjustRightInd w:val="0"/>
        <w:snapToGrid w:val="0"/>
        <w:spacing w:line="560" w:lineRule="exact"/>
        <w:ind w:firstLine="624" w:firstLineChars="19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联系人：孙献文、刘增梅</w:t>
      </w:r>
    </w:p>
    <w:p w14:paraId="2433AD03">
      <w:pPr>
        <w:adjustRightInd w:val="0"/>
        <w:snapToGrid w:val="0"/>
        <w:spacing w:line="560" w:lineRule="exact"/>
        <w:ind w:firstLine="624" w:firstLineChars="19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联系电话：0512-63477055</w:t>
      </w:r>
    </w:p>
    <w:p w14:paraId="47ABFB85">
      <w:pPr>
        <w:adjustRightInd w:val="0"/>
        <w:snapToGrid w:val="0"/>
        <w:spacing w:line="560" w:lineRule="exact"/>
        <w:ind w:firstLine="624" w:firstLineChars="195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江苏嘉裕工程管理咨询有限公司</w:t>
      </w:r>
    </w:p>
    <w:p w14:paraId="1637CC3F">
      <w:pPr>
        <w:adjustRightInd w:val="0"/>
        <w:snapToGrid w:val="0"/>
        <w:spacing w:line="560" w:lineRule="exact"/>
        <w:ind w:firstLine="624" w:firstLineChars="195"/>
        <w:jc w:val="right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2026年01月28日</w:t>
      </w:r>
    </w:p>
    <w:sectPr>
      <w:footerReference r:id="rId3" w:type="default"/>
      <w:pgSz w:w="11906" w:h="16838"/>
      <w:pgMar w:top="1157" w:right="1800" w:bottom="1157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D2785A-3C65-437D-8BB6-C590F1F36F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F3175D-CB8E-4D7B-8402-88DA1A9C79D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">
    <w:altName w:val="@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766C42C-FFBD-4260-9C88-3E6270FFF07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8B92EA25-EB53-4F00-A645-936D2DE3B4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21FD63E-E15B-49ED-BCD0-BBD7B8E8CBB3}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  <w:embedRegular r:id="rId6" w:fontKey="{A1006BE3-0BAD-49AF-91EE-51D1887C94E2}"/>
  </w:font>
  <w:font w:name="WPSEMBED1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8083E">
    <w:pPr>
      <w:pStyle w:val="5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C29BFAF"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xZTAyNzA4MmY2M2U0OTE0YmM2ZjMwODA3Yjk1YzUifQ=="/>
  </w:docVars>
  <w:rsids>
    <w:rsidRoot w:val="00FD3035"/>
    <w:rsid w:val="000001A7"/>
    <w:rsid w:val="000176AE"/>
    <w:rsid w:val="000470C1"/>
    <w:rsid w:val="000478BF"/>
    <w:rsid w:val="00073D49"/>
    <w:rsid w:val="00077F0C"/>
    <w:rsid w:val="0008025F"/>
    <w:rsid w:val="00081306"/>
    <w:rsid w:val="00081779"/>
    <w:rsid w:val="00097232"/>
    <w:rsid w:val="000A28F6"/>
    <w:rsid w:val="000A618A"/>
    <w:rsid w:val="000B57A8"/>
    <w:rsid w:val="000C2D3F"/>
    <w:rsid w:val="000C74F7"/>
    <w:rsid w:val="000E1C23"/>
    <w:rsid w:val="000F0717"/>
    <w:rsid w:val="00101E6C"/>
    <w:rsid w:val="0014193E"/>
    <w:rsid w:val="00147FE2"/>
    <w:rsid w:val="00193B97"/>
    <w:rsid w:val="00203B51"/>
    <w:rsid w:val="00203E0A"/>
    <w:rsid w:val="002079A3"/>
    <w:rsid w:val="002136D0"/>
    <w:rsid w:val="00252EBF"/>
    <w:rsid w:val="00262A39"/>
    <w:rsid w:val="00281A5C"/>
    <w:rsid w:val="00281B22"/>
    <w:rsid w:val="00286F10"/>
    <w:rsid w:val="002924C0"/>
    <w:rsid w:val="00294CE5"/>
    <w:rsid w:val="002A42C3"/>
    <w:rsid w:val="002B1F6B"/>
    <w:rsid w:val="002C37EC"/>
    <w:rsid w:val="002C41B1"/>
    <w:rsid w:val="00311183"/>
    <w:rsid w:val="00314E5D"/>
    <w:rsid w:val="00331897"/>
    <w:rsid w:val="0033568F"/>
    <w:rsid w:val="00344A05"/>
    <w:rsid w:val="00357CEA"/>
    <w:rsid w:val="00371DDC"/>
    <w:rsid w:val="00392233"/>
    <w:rsid w:val="003955F4"/>
    <w:rsid w:val="003B0CC5"/>
    <w:rsid w:val="00405518"/>
    <w:rsid w:val="00441E4B"/>
    <w:rsid w:val="00450C8D"/>
    <w:rsid w:val="00484A55"/>
    <w:rsid w:val="0048776F"/>
    <w:rsid w:val="004902E2"/>
    <w:rsid w:val="004B4BA2"/>
    <w:rsid w:val="004E6048"/>
    <w:rsid w:val="004E754F"/>
    <w:rsid w:val="004F0850"/>
    <w:rsid w:val="004F1D96"/>
    <w:rsid w:val="004F1FB3"/>
    <w:rsid w:val="005035C6"/>
    <w:rsid w:val="00507B66"/>
    <w:rsid w:val="00540C3E"/>
    <w:rsid w:val="005502E7"/>
    <w:rsid w:val="00581E73"/>
    <w:rsid w:val="0059021B"/>
    <w:rsid w:val="005A0929"/>
    <w:rsid w:val="005A2723"/>
    <w:rsid w:val="005C379F"/>
    <w:rsid w:val="005D7739"/>
    <w:rsid w:val="005F3CF4"/>
    <w:rsid w:val="005F5354"/>
    <w:rsid w:val="00621A21"/>
    <w:rsid w:val="006702F1"/>
    <w:rsid w:val="006B791D"/>
    <w:rsid w:val="006C7EFA"/>
    <w:rsid w:val="006D336D"/>
    <w:rsid w:val="006D45B4"/>
    <w:rsid w:val="006D72A9"/>
    <w:rsid w:val="00701D4C"/>
    <w:rsid w:val="007220BB"/>
    <w:rsid w:val="00734117"/>
    <w:rsid w:val="00741597"/>
    <w:rsid w:val="007428D7"/>
    <w:rsid w:val="00775339"/>
    <w:rsid w:val="00790DE6"/>
    <w:rsid w:val="007B5378"/>
    <w:rsid w:val="007D2116"/>
    <w:rsid w:val="007E07D0"/>
    <w:rsid w:val="008018ED"/>
    <w:rsid w:val="00830712"/>
    <w:rsid w:val="0084565E"/>
    <w:rsid w:val="00845CD1"/>
    <w:rsid w:val="00845EA1"/>
    <w:rsid w:val="00880394"/>
    <w:rsid w:val="0088396B"/>
    <w:rsid w:val="008860DE"/>
    <w:rsid w:val="00896511"/>
    <w:rsid w:val="008C3E4B"/>
    <w:rsid w:val="008C68BC"/>
    <w:rsid w:val="008E5341"/>
    <w:rsid w:val="00905EB7"/>
    <w:rsid w:val="00910B32"/>
    <w:rsid w:val="00911219"/>
    <w:rsid w:val="0091548C"/>
    <w:rsid w:val="0091657B"/>
    <w:rsid w:val="0092595E"/>
    <w:rsid w:val="009355AA"/>
    <w:rsid w:val="00974EE4"/>
    <w:rsid w:val="009844F0"/>
    <w:rsid w:val="009870F6"/>
    <w:rsid w:val="00992497"/>
    <w:rsid w:val="009F0B53"/>
    <w:rsid w:val="00A1089C"/>
    <w:rsid w:val="00A31136"/>
    <w:rsid w:val="00A47575"/>
    <w:rsid w:val="00A64699"/>
    <w:rsid w:val="00A727E0"/>
    <w:rsid w:val="00A84DF9"/>
    <w:rsid w:val="00A942A8"/>
    <w:rsid w:val="00AD5DFE"/>
    <w:rsid w:val="00AF0EC8"/>
    <w:rsid w:val="00AF2A3D"/>
    <w:rsid w:val="00AF3488"/>
    <w:rsid w:val="00B0241C"/>
    <w:rsid w:val="00B3141D"/>
    <w:rsid w:val="00B42778"/>
    <w:rsid w:val="00B75127"/>
    <w:rsid w:val="00B946C6"/>
    <w:rsid w:val="00BA19C3"/>
    <w:rsid w:val="00BE6009"/>
    <w:rsid w:val="00BF4040"/>
    <w:rsid w:val="00C14253"/>
    <w:rsid w:val="00C152FB"/>
    <w:rsid w:val="00C55427"/>
    <w:rsid w:val="00C561D1"/>
    <w:rsid w:val="00C837BA"/>
    <w:rsid w:val="00C95061"/>
    <w:rsid w:val="00C951DA"/>
    <w:rsid w:val="00CD5A51"/>
    <w:rsid w:val="00CE1E34"/>
    <w:rsid w:val="00D03A3F"/>
    <w:rsid w:val="00D05C7D"/>
    <w:rsid w:val="00D05EA1"/>
    <w:rsid w:val="00D06B0A"/>
    <w:rsid w:val="00D200AC"/>
    <w:rsid w:val="00D651C9"/>
    <w:rsid w:val="00D85270"/>
    <w:rsid w:val="00DA1AA3"/>
    <w:rsid w:val="00DD4BFB"/>
    <w:rsid w:val="00DD568F"/>
    <w:rsid w:val="00E16C0C"/>
    <w:rsid w:val="00E21C0C"/>
    <w:rsid w:val="00E65C6D"/>
    <w:rsid w:val="00E95976"/>
    <w:rsid w:val="00EC23F3"/>
    <w:rsid w:val="00EE5ED2"/>
    <w:rsid w:val="00F0299C"/>
    <w:rsid w:val="00F136AA"/>
    <w:rsid w:val="00F27E6D"/>
    <w:rsid w:val="00F72F96"/>
    <w:rsid w:val="00F73CC8"/>
    <w:rsid w:val="00F87678"/>
    <w:rsid w:val="00FB3A58"/>
    <w:rsid w:val="00FD3035"/>
    <w:rsid w:val="00FE2548"/>
    <w:rsid w:val="00FF7880"/>
    <w:rsid w:val="01D32DCE"/>
    <w:rsid w:val="0A733609"/>
    <w:rsid w:val="0E4B4C40"/>
    <w:rsid w:val="0FEE5277"/>
    <w:rsid w:val="117C690C"/>
    <w:rsid w:val="121801FD"/>
    <w:rsid w:val="12E0359D"/>
    <w:rsid w:val="14C36CD2"/>
    <w:rsid w:val="164C2CF7"/>
    <w:rsid w:val="16556050"/>
    <w:rsid w:val="182A07FA"/>
    <w:rsid w:val="18DD74FF"/>
    <w:rsid w:val="18FC7B0D"/>
    <w:rsid w:val="19A1335A"/>
    <w:rsid w:val="19DA69D9"/>
    <w:rsid w:val="1AB53A08"/>
    <w:rsid w:val="1C9668FB"/>
    <w:rsid w:val="1DA520F7"/>
    <w:rsid w:val="1DEF0B38"/>
    <w:rsid w:val="1E042DF2"/>
    <w:rsid w:val="1EBF6F08"/>
    <w:rsid w:val="210E7527"/>
    <w:rsid w:val="21FA7AAB"/>
    <w:rsid w:val="21FB398A"/>
    <w:rsid w:val="224F6049"/>
    <w:rsid w:val="22552D42"/>
    <w:rsid w:val="24CD14A7"/>
    <w:rsid w:val="24EB2B8F"/>
    <w:rsid w:val="254D1E08"/>
    <w:rsid w:val="25D725DE"/>
    <w:rsid w:val="270831EF"/>
    <w:rsid w:val="27962024"/>
    <w:rsid w:val="2A111E36"/>
    <w:rsid w:val="2AA531AD"/>
    <w:rsid w:val="2F4A26A0"/>
    <w:rsid w:val="2F6C023B"/>
    <w:rsid w:val="2FFF3538"/>
    <w:rsid w:val="310336EE"/>
    <w:rsid w:val="311C4E1A"/>
    <w:rsid w:val="314136A9"/>
    <w:rsid w:val="31631438"/>
    <w:rsid w:val="345B262C"/>
    <w:rsid w:val="36F466AC"/>
    <w:rsid w:val="378C4D1E"/>
    <w:rsid w:val="37CB5D1A"/>
    <w:rsid w:val="380074D4"/>
    <w:rsid w:val="38510044"/>
    <w:rsid w:val="38594E0C"/>
    <w:rsid w:val="38E30E42"/>
    <w:rsid w:val="39D013C6"/>
    <w:rsid w:val="3B070E17"/>
    <w:rsid w:val="3B856560"/>
    <w:rsid w:val="3C595DCA"/>
    <w:rsid w:val="3DBC5BD7"/>
    <w:rsid w:val="3F767F88"/>
    <w:rsid w:val="40602CF8"/>
    <w:rsid w:val="40624F27"/>
    <w:rsid w:val="454F3AE7"/>
    <w:rsid w:val="48C05540"/>
    <w:rsid w:val="4A024EB4"/>
    <w:rsid w:val="4B331D0F"/>
    <w:rsid w:val="4C69025A"/>
    <w:rsid w:val="4D4C4DB0"/>
    <w:rsid w:val="4FBA3317"/>
    <w:rsid w:val="51D86F09"/>
    <w:rsid w:val="52442340"/>
    <w:rsid w:val="530F7826"/>
    <w:rsid w:val="533C25EA"/>
    <w:rsid w:val="53C903D1"/>
    <w:rsid w:val="54D309A6"/>
    <w:rsid w:val="54EA5AFD"/>
    <w:rsid w:val="587A335C"/>
    <w:rsid w:val="5B051B02"/>
    <w:rsid w:val="5B1258EA"/>
    <w:rsid w:val="5CC04CEB"/>
    <w:rsid w:val="5D6D78B6"/>
    <w:rsid w:val="5F6303BC"/>
    <w:rsid w:val="5F735C55"/>
    <w:rsid w:val="60762907"/>
    <w:rsid w:val="66DF4275"/>
    <w:rsid w:val="677156E7"/>
    <w:rsid w:val="694B1F6D"/>
    <w:rsid w:val="6BC576F0"/>
    <w:rsid w:val="714A1482"/>
    <w:rsid w:val="724834E8"/>
    <w:rsid w:val="73DC577A"/>
    <w:rsid w:val="745148D6"/>
    <w:rsid w:val="7559419D"/>
    <w:rsid w:val="75F272FC"/>
    <w:rsid w:val="76BE6796"/>
    <w:rsid w:val="779A6594"/>
    <w:rsid w:val="77B97ADC"/>
    <w:rsid w:val="7834241C"/>
    <w:rsid w:val="78DE2D24"/>
    <w:rsid w:val="7BAE260E"/>
    <w:rsid w:val="7BB00965"/>
    <w:rsid w:val="7D247533"/>
    <w:rsid w:val="7E4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kern w:val="44"/>
      <w:sz w:val="44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eastAsia="宋体"/>
      <w:lang w:val="zh-CN"/>
    </w:rPr>
  </w:style>
  <w:style w:type="paragraph" w:styleId="4">
    <w:name w:val="Body Text"/>
    <w:basedOn w:val="1"/>
    <w:next w:val="1"/>
    <w:qFormat/>
    <w:uiPriority w:val="0"/>
    <w:rPr>
      <w:sz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3">
    <w:name w:val="纯文本4"/>
    <w:basedOn w:val="1"/>
    <w:qFormat/>
    <w:uiPriority w:val="0"/>
    <w:pPr>
      <w:widowControl/>
      <w:adjustRightInd w:val="0"/>
      <w:jc w:val="left"/>
      <w:textAlignment w:val="baseline"/>
    </w:pPr>
    <w:rPr>
      <w:rFonts w:ascii="宋体" w:hAnsi="Courier New" w:eastAsia="楷体_GB2312" w:cs="Times New Roman"/>
      <w:kern w:val="0"/>
      <w:sz w:val="26"/>
      <w:szCs w:val="20"/>
    </w:rPr>
  </w:style>
  <w:style w:type="paragraph" w:customStyle="1" w:styleId="14">
    <w:name w:val="纯文本2"/>
    <w:basedOn w:val="1"/>
    <w:qFormat/>
    <w:uiPriority w:val="0"/>
    <w:pPr>
      <w:adjustRightInd w:val="0"/>
      <w:textAlignment w:val="baseline"/>
    </w:pPr>
    <w:rPr>
      <w:rFonts w:ascii="@方正小标宋" w:hAnsi="@方正小标宋" w:eastAsia="@方正小标宋"/>
      <w:sz w:val="26"/>
      <w:szCs w:val="20"/>
    </w:rPr>
  </w:style>
  <w:style w:type="paragraph" w:customStyle="1" w:styleId="15">
    <w:name w:val="段"/>
    <w:next w:val="1"/>
    <w:qFormat/>
    <w:uiPriority w:val="0"/>
    <w:pPr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纯文本7"/>
    <w:basedOn w:val="1"/>
    <w:qFormat/>
    <w:uiPriority w:val="0"/>
    <w:pPr>
      <w:adjustRightInd w:val="0"/>
    </w:pPr>
    <w:rPr>
      <w:rFonts w:ascii="宋体" w:hAnsi="Courier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7A883A-E109-4344-A092-6735958E8B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1250</Words>
  <Characters>1430</Characters>
  <Lines>7</Lines>
  <Paragraphs>2</Paragraphs>
  <TotalTime>5</TotalTime>
  <ScaleCrop>false</ScaleCrop>
  <LinksUpToDate>false</LinksUpToDate>
  <CharactersWithSpaces>1442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2018-12-20T07:34:00Z</dcterms:created>
  <dc:creator>微软用户</dc:creator>
  <cp:lastModifiedBy>毛鑫</cp:lastModifiedBy>
  <cp:lastPrinted>2024-08-05T05:29:00Z</cp:lastPrinted>
  <dcterms:modified xsi:type="dcterms:W3CDTF">2026-01-28T07:55:41Z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C2AE2DB214EB4999B73EF958F778CFE5_12</vt:lpwstr>
  </property>
  <property fmtid="{D5CDD505-2E9C-101B-9397-08002B2CF9AE}" pid="4" name="KSOTemplateDocerSaveRecord">
    <vt:lpwstr>eyJoZGlkIjoiN2MxZTAyNzA4MmY2M2U0OTE0YmM2ZjMwODA3Yjk1YzUiLCJ1c2VySWQiOiI1OTk1NDU5NjQifQ==</vt:lpwstr>
  </property>
</Properties>
</file>